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D5AFF" w14:textId="6591062E" w:rsidR="006E0871" w:rsidRPr="00B60F2F" w:rsidRDefault="00D30416" w:rsidP="00664994">
      <w:pPr>
        <w:jc w:val="center"/>
        <w:rPr>
          <w:rFonts w:ascii="Calibri" w:hAnsi="Calibri" w:cs="Calibri"/>
          <w:sz w:val="24"/>
          <w:szCs w:val="24"/>
        </w:rPr>
      </w:pPr>
      <w:r w:rsidRPr="00B60F2F">
        <w:rPr>
          <w:rFonts w:ascii="Calibri" w:hAnsi="Calibri" w:cs="Calibri"/>
          <w:b/>
          <w:bCs/>
          <w:sz w:val="32"/>
          <w:szCs w:val="32"/>
        </w:rPr>
        <w:t xml:space="preserve">CPA Nº </w:t>
      </w:r>
      <w:r w:rsidR="0026143F">
        <w:rPr>
          <w:rFonts w:ascii="Calibri" w:hAnsi="Calibri" w:cs="Calibri"/>
          <w:b/>
          <w:bCs/>
          <w:sz w:val="32"/>
          <w:szCs w:val="32"/>
        </w:rPr>
        <w:t>42</w:t>
      </w:r>
      <w:r w:rsidRPr="00B60F2F">
        <w:rPr>
          <w:rFonts w:ascii="Calibri" w:hAnsi="Calibri" w:cs="Calibri"/>
          <w:b/>
          <w:bCs/>
          <w:sz w:val="32"/>
          <w:szCs w:val="32"/>
        </w:rPr>
        <w:t xml:space="preserve"> – Fatores de Melhoria/</w:t>
      </w:r>
      <w:proofErr w:type="spellStart"/>
      <w:r w:rsidRPr="00B60F2F">
        <w:rPr>
          <w:rFonts w:ascii="Calibri" w:hAnsi="Calibri" w:cs="Calibri"/>
          <w:b/>
          <w:bCs/>
          <w:sz w:val="32"/>
          <w:szCs w:val="32"/>
        </w:rPr>
        <w:t>Improvement</w:t>
      </w:r>
      <w:proofErr w:type="spellEnd"/>
      <w:r w:rsidRPr="00B60F2F">
        <w:rPr>
          <w:rFonts w:ascii="Calibri" w:hAnsi="Calibri" w:cs="Calibri"/>
          <w:b/>
          <w:bCs/>
          <w:sz w:val="32"/>
          <w:szCs w:val="32"/>
        </w:rPr>
        <w:t xml:space="preserve"> de Mortalidade</w:t>
      </w:r>
    </w:p>
    <w:p w14:paraId="27F8CD31" w14:textId="77777777" w:rsidR="006E0871" w:rsidRPr="00B60F2F" w:rsidRDefault="00D30416" w:rsidP="00664994">
      <w:pPr>
        <w:jc w:val="center"/>
        <w:rPr>
          <w:rFonts w:ascii="Calibri" w:hAnsi="Calibri" w:cs="Calibri"/>
          <w:sz w:val="24"/>
          <w:szCs w:val="24"/>
        </w:rPr>
      </w:pPr>
      <w:r w:rsidRPr="00B60F2F">
        <w:rPr>
          <w:rFonts w:ascii="Calibri" w:hAnsi="Calibri" w:cs="Calibri"/>
          <w:b/>
          <w:bCs/>
          <w:sz w:val="28"/>
          <w:szCs w:val="28"/>
        </w:rPr>
        <w:t xml:space="preserve">Quadro </w:t>
      </w:r>
      <w:proofErr w:type="spellStart"/>
      <w:r w:rsidRPr="00B60F2F">
        <w:rPr>
          <w:rFonts w:ascii="Calibri" w:hAnsi="Calibri" w:cs="Calibri"/>
          <w:b/>
          <w:bCs/>
          <w:sz w:val="28"/>
          <w:szCs w:val="28"/>
        </w:rPr>
        <w:t>de-para</w:t>
      </w:r>
      <w:proofErr w:type="spellEnd"/>
      <w:r w:rsidRPr="00B60F2F">
        <w:rPr>
          <w:rFonts w:ascii="Calibri" w:hAnsi="Calibri" w:cs="Calibri"/>
          <w:b/>
          <w:bCs/>
          <w:sz w:val="28"/>
          <w:szCs w:val="28"/>
        </w:rPr>
        <w:t xml:space="preserve"> para consulta pública</w:t>
      </w:r>
    </w:p>
    <w:p w14:paraId="0EE4A180" w14:textId="6B3AF486" w:rsidR="006E0871" w:rsidRPr="00B60F2F" w:rsidRDefault="006E0871" w:rsidP="00664994">
      <w:pPr>
        <w:rPr>
          <w:rFonts w:ascii="Calibri" w:hAnsi="Calibri" w:cs="Calibri"/>
          <w:sz w:val="24"/>
          <w:szCs w:val="24"/>
        </w:rPr>
      </w:pPr>
    </w:p>
    <w:p w14:paraId="20F1FAC9" w14:textId="77777777" w:rsidR="00664994" w:rsidRPr="00B60F2F" w:rsidRDefault="00664994" w:rsidP="00664994">
      <w:pPr>
        <w:rPr>
          <w:rFonts w:ascii="Calibri" w:hAnsi="Calibri" w:cs="Calibri"/>
          <w:sz w:val="24"/>
          <w:szCs w:val="24"/>
        </w:rPr>
      </w:pPr>
    </w:p>
    <w:tbl>
      <w:tblPr>
        <w:tblW w:w="14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"/>
        <w:gridCol w:w="6665"/>
        <w:gridCol w:w="4062"/>
        <w:gridCol w:w="3372"/>
      </w:tblGrid>
      <w:tr w:rsidR="006E0871" w:rsidRPr="00B60F2F" w14:paraId="2160E624" w14:textId="77777777" w:rsidTr="004662F6">
        <w:trPr>
          <w:tblHeader/>
        </w:trPr>
        <w:tc>
          <w:tcPr>
            <w:tcW w:w="699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147706" w14:textId="77777777" w:rsidR="006E0871" w:rsidRPr="00B60F2F" w:rsidRDefault="00D30416" w:rsidP="004662F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6665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2724FA" w14:textId="77777777" w:rsidR="006E0871" w:rsidRPr="00B60F2F" w:rsidRDefault="00D30416" w:rsidP="004662F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b/>
                <w:bCs/>
                <w:sz w:val="24"/>
                <w:szCs w:val="24"/>
              </w:rPr>
              <w:t>Texto Proposto (Minuta CPA)</w:t>
            </w:r>
          </w:p>
        </w:tc>
        <w:tc>
          <w:tcPr>
            <w:tcW w:w="4062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C27825" w14:textId="77777777" w:rsidR="006E0871" w:rsidRPr="00B60F2F" w:rsidRDefault="00D30416" w:rsidP="004662F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b/>
                <w:bCs/>
                <w:sz w:val="24"/>
                <w:szCs w:val="24"/>
              </w:rPr>
              <w:t>Sugestão</w:t>
            </w:r>
          </w:p>
        </w:tc>
        <w:tc>
          <w:tcPr>
            <w:tcW w:w="3372" w:type="dxa"/>
            <w:shd w:val="clear" w:color="auto" w:fill="D9D9D9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87D772" w14:textId="77777777" w:rsidR="006E0871" w:rsidRPr="00B60F2F" w:rsidRDefault="00D30416" w:rsidP="004662F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b/>
                <w:bCs/>
                <w:sz w:val="24"/>
                <w:szCs w:val="24"/>
              </w:rPr>
              <w:t>Observação</w:t>
            </w:r>
          </w:p>
        </w:tc>
      </w:tr>
      <w:tr w:rsidR="006E0871" w:rsidRPr="00B60F2F" w14:paraId="7A83379B" w14:textId="77777777" w:rsidTr="004662F6">
        <w:tc>
          <w:tcPr>
            <w:tcW w:w="14798" w:type="dxa"/>
            <w:gridSpan w:val="4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69AF9F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b/>
                <w:bCs/>
                <w:sz w:val="24"/>
                <w:szCs w:val="24"/>
              </w:rPr>
              <w:t>I. INTRODUÇÃO</w:t>
            </w:r>
          </w:p>
        </w:tc>
      </w:tr>
      <w:tr w:rsidR="006E0871" w:rsidRPr="00B60F2F" w14:paraId="45AADEF3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F93524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78550E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 xml:space="preserve">Este Pronunciamento Técnico (CPA) estabelece os princípios que regem a atividade atuarial no que se refere à incorporação dos Fatores de Melhoria de Mortalidade, também conhecidos como </w:t>
            </w:r>
            <w:proofErr w:type="spellStart"/>
            <w:r w:rsidRPr="00B60F2F">
              <w:rPr>
                <w:rFonts w:ascii="Calibri" w:hAnsi="Calibri" w:cs="Calibri"/>
                <w:sz w:val="22"/>
                <w:szCs w:val="22"/>
              </w:rPr>
              <w:t>Improvement</w:t>
            </w:r>
            <w:proofErr w:type="spellEnd"/>
            <w:r w:rsidRPr="00B60F2F">
              <w:rPr>
                <w:rFonts w:ascii="Calibri" w:hAnsi="Calibri" w:cs="Calibri"/>
                <w:sz w:val="22"/>
                <w:szCs w:val="22"/>
              </w:rPr>
              <w:t>, na avaliação de obrigações atuariais, quando aplicáveis ou exigidos pela legislação, especialmente em planos de previdência, seguros de vida e seguros de saúde.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63F605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E1E214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6B0C8B51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37E745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B0177C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No decorrer deste documento, que abrange segmentos diversos no mercado atuarial, serão mencionados conceitos com significado semelhante, mas de uso mais comum em um ou outro segmento específico. O nome “</w:t>
            </w:r>
            <w:proofErr w:type="spellStart"/>
            <w:r w:rsidRPr="00B60F2F">
              <w:rPr>
                <w:rFonts w:ascii="Calibri" w:hAnsi="Calibri" w:cs="Calibri"/>
                <w:sz w:val="22"/>
                <w:szCs w:val="22"/>
              </w:rPr>
              <w:t>improvement</w:t>
            </w:r>
            <w:proofErr w:type="spellEnd"/>
            <w:r w:rsidRPr="00B60F2F">
              <w:rPr>
                <w:rFonts w:ascii="Calibri" w:hAnsi="Calibri" w:cs="Calibri"/>
                <w:sz w:val="22"/>
                <w:szCs w:val="22"/>
              </w:rPr>
              <w:t>” é mais utilizado no segmento de seguros, e “melhoria de mortalidade” é mais comum em Previdência Fechada. Usaremos “Melhoria” a partir deste ponto.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81CC95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92567B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3FFC417A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498C13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8F933D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A evolução da longevidade da população é um fenômeno global que impacta diretamente a sustentabilidade de planos de benefícios de longo prazo. A simples utilização de tábuas de mortalidade estáticas, que não capturam a tendência de queda contínua das taxas de mortalidade, pode levar a uma subestimação das obrigações futuras. Este documento visa, portanto, orientar o atuário sobre a adoção de práticas e metodologias mais robustas e aderentes às tendências demográficas atuais.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1058F0" w14:textId="77777777" w:rsidR="006E0871" w:rsidRPr="00B60F2F" w:rsidRDefault="006E0871" w:rsidP="004662F6">
            <w:pPr>
              <w:ind w:left="-239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30B77E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0D32514B" w14:textId="77777777" w:rsidTr="004662F6">
        <w:tc>
          <w:tcPr>
            <w:tcW w:w="14798" w:type="dxa"/>
            <w:gridSpan w:val="4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68C3F4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b/>
                <w:bCs/>
                <w:sz w:val="24"/>
                <w:szCs w:val="24"/>
              </w:rPr>
              <w:t>II. OBJETIVO</w:t>
            </w:r>
          </w:p>
        </w:tc>
      </w:tr>
      <w:tr w:rsidR="006E0871" w:rsidRPr="00B60F2F" w14:paraId="65DEED01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E656211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700C60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O objetivo deste Pronunciamento é estabelecer princípios, diretrizes, melhores práticas e procedimentos mínimos para a seleção e aplicação de premissas relacionadas aos fatores de melhoria de mortalidade, não implicando em estabelecimento de obrigação de sua aplicação.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97B5C9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25C40D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12D703BD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3727BD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lastRenderedPageBreak/>
              <w:t>5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FC5879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A Melhoria aumenta a consistência e a qualidade das avaliações atuariais e dos modelos de precificação, garantindo que os passivos de longo prazo sejam mensurados com maior precisão, prudência e padronização.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DAF97D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A220F4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576C5C4A" w14:textId="77777777" w:rsidTr="004662F6">
        <w:tc>
          <w:tcPr>
            <w:tcW w:w="14798" w:type="dxa"/>
            <w:gridSpan w:val="4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B72DFE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b/>
                <w:bCs/>
                <w:sz w:val="24"/>
                <w:szCs w:val="24"/>
              </w:rPr>
              <w:t>III. ALCANCE, RESPONSABILIDADE E ABRANGÊNCIA</w:t>
            </w:r>
          </w:p>
        </w:tc>
      </w:tr>
      <w:tr w:rsidR="006E0871" w:rsidRPr="00B60F2F" w14:paraId="3D139D4F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1D55C0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6FA2E8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Este Pronunciamento terá seu alcance baseado nas normas e orientações emitidas pelos órgãos reguladores, fiscalizadores e princípios publicados pelo Instituto Brasileiro de Atuária (IBA).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C97760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F55039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550CAF16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86AA41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3E4F30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A escolha da metodologia de cálculo do fator de Melhoria é de responsabilidade do Atuário, que deve ser fundamentada em bases técnicas atuariais sólidas e, desta forma, não representa uma atribuição ou responsabilidade do IBA.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70BA88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B0C1EE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1957EC14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A5C0D9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E42737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As orientações apresentadas neste Pronunciamento são aplicáveis a todos os atuários que atuam em precificação, avaliação de reservas que apresentem componentes atuariais e análise de solvência e liquidez de: (a) seguros de pessoas; (b) planos de previdência, incluindo regimes próprios, previdência complementar aberta e fechada; e (c) quando aplicável, na saúde suplementar.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C12F6A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044C574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46CF3249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087555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8A3551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A aplicação das orientações contidas neste Pronunciamento em contextos ou bases distintas deve ser avaliada pelo Atuário responsável.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2C2C6E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B16728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5B784664" w14:textId="77777777" w:rsidTr="004662F6">
        <w:tc>
          <w:tcPr>
            <w:tcW w:w="14798" w:type="dxa"/>
            <w:gridSpan w:val="4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C902AC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b/>
                <w:bCs/>
                <w:sz w:val="24"/>
                <w:szCs w:val="24"/>
              </w:rPr>
              <w:t>IV. DEFINIÇÕES</w:t>
            </w:r>
          </w:p>
        </w:tc>
      </w:tr>
      <w:tr w:rsidR="006E0871" w:rsidRPr="00B60F2F" w14:paraId="2B4AC279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31563A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C5B81F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Tábua de Mortalidade: tabela estatística representando a probabilidade condicional (</w:t>
            </w:r>
            <w:proofErr w:type="spellStart"/>
            <w:r w:rsidRPr="00B60F2F">
              <w:rPr>
                <w:rFonts w:ascii="Calibri" w:hAnsi="Calibri" w:cs="Calibri"/>
                <w:sz w:val="22"/>
                <w:szCs w:val="22"/>
              </w:rPr>
              <w:t>qx</w:t>
            </w:r>
            <w:proofErr w:type="spellEnd"/>
            <w:r w:rsidRPr="00B60F2F">
              <w:rPr>
                <w:rFonts w:ascii="Calibri" w:hAnsi="Calibri" w:cs="Calibri"/>
                <w:sz w:val="22"/>
                <w:szCs w:val="22"/>
              </w:rPr>
              <w:t>) de um indivíduo de idade x morrer antes da idade x + 1.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35814A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ADA976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4FD7046D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13750B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7E2612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Tábua de Mortalidade Estática: tábua de mortalidade em que as taxas de mortalidade (</w:t>
            </w:r>
            <w:proofErr w:type="spellStart"/>
            <w:r w:rsidRPr="00B60F2F">
              <w:rPr>
                <w:rFonts w:ascii="Calibri" w:hAnsi="Calibri" w:cs="Calibri"/>
                <w:sz w:val="22"/>
                <w:szCs w:val="22"/>
              </w:rPr>
              <w:t>qx</w:t>
            </w:r>
            <w:proofErr w:type="spellEnd"/>
            <w:r w:rsidRPr="00B60F2F">
              <w:rPr>
                <w:rFonts w:ascii="Calibri" w:hAnsi="Calibri" w:cs="Calibri"/>
                <w:sz w:val="22"/>
                <w:szCs w:val="22"/>
              </w:rPr>
              <w:t>) para uma determinada idade x são consideradas constantes ao longo de todo o período de projeção.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1878324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BEC6A2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64D2BCAF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D19FB2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E817D4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Tábua de Mortalidade Projetada: tábua de mortalidade que incorpora uma redução nas taxas de mortalidade até um determinado ano de projeção.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E6E148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5D42A7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0467B299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9D7260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397676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Tábua de Mortalidade Geracional: tábua de mortalidade que aplica fatores de Melhoria para cada ano calendário futuro, fazendo com que a taxa de mortalidade de um indivíduo dependa não apenas de sua idade x, mas também do tempo t decorrido. É a metodologia que reflete de forma mais completa a tendência de longevidade.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825F71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942BF9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15E3EFB7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93B4178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4B60AE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Fator de Melhoria ou escala de projeção: representa a taxa anual de redução da mortalidade, que pode ser unidimensional ou pluridimensional (por sexo, idade, ano etc.), a ser aplicada a partir do ano em que as taxas de mortalidade estão posicionadas.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C89CA6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2E50F1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22A1A626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7001DD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0478F1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Taxa Última: convergência do fator de Melhoria no longo prazo, quando aplicável.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A0807B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E6DBABD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462C60E9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6FD034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9330E9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Idade Limite da Tábua: idade ω a partir da qual a probabilidade condicional de mortalidade se torna 1, sendo o limite de sobrevivência.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C82234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D4EA47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709DEE6A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8EB08C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17C5E7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Precificação: processo atuarial que consiste em calcular o valor do prêmio (para seguros) ou da contribuição (para previdência) a ser pago por um indivíduo ou grupo para garantia da cobertura contratada.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0FD6A0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A9C2AB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66AA8A8F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D03F9B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251B1D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Custeio: cálculo atuarial feito para financiar o valor presente dos benefícios futuros de um fundo de pensão ou seguro-saúde.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8E007A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DB51319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2646CF35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92800B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46F5A6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Avaliação de Reservas (Provisões): recálculo periódico do valor presente dos compromissos futuros da seguradora, operadora, EAPC</w:t>
            </w:r>
            <w:r w:rsidRPr="00B60F2F">
              <w:rPr>
                <w:rFonts w:ascii="Calibri" w:hAnsi="Calibri" w:cs="Calibri"/>
                <w:sz w:val="22"/>
                <w:szCs w:val="22"/>
              </w:rPr>
              <w:t xml:space="preserve"> ou fundo de pensão, de acordo com a legislação e </w:t>
            </w:r>
            <w:proofErr w:type="spellStart"/>
            <w:r w:rsidRPr="00B60F2F">
              <w:rPr>
                <w:rFonts w:ascii="Calibri" w:hAnsi="Calibri" w:cs="Calibri"/>
                <w:sz w:val="22"/>
                <w:szCs w:val="22"/>
              </w:rPr>
              <w:t>CPAs</w:t>
            </w:r>
            <w:proofErr w:type="spellEnd"/>
            <w:r w:rsidRPr="00B60F2F">
              <w:rPr>
                <w:rFonts w:ascii="Calibri" w:hAnsi="Calibri" w:cs="Calibri"/>
                <w:sz w:val="22"/>
                <w:szCs w:val="22"/>
              </w:rPr>
              <w:t xml:space="preserve"> vigentes, nota técnica atuarial do produto ou benefício e melhores práticas atuariais.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F4A9800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B628C4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48186AD9" w14:textId="77777777" w:rsidTr="004662F6">
        <w:tc>
          <w:tcPr>
            <w:tcW w:w="14798" w:type="dxa"/>
            <w:gridSpan w:val="4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87DC3B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b/>
                <w:bCs/>
                <w:sz w:val="24"/>
                <w:szCs w:val="24"/>
              </w:rPr>
              <w:t>V. CONTEÚDO – Princípios Fundamentais</w:t>
            </w:r>
          </w:p>
        </w:tc>
      </w:tr>
      <w:tr w:rsidR="006E0871" w:rsidRPr="00B60F2F" w14:paraId="0665F2A6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C7CF23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62566B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Princípio da Aderência e Prudência: O atuário deve empregar hipóteses de melhoria de mortalidade que sejam aderentes às características da população analisada (idade, sexo, nível socioeconômico etc.) e ao ambiente em que ela está inserida. Na ausência de dados estatísticos robustos para o grupo específico, a escolha da hipótese deve ser pautada por um princípio de prudência, refletindo a incerteza quanto à evolução futura da longevidade.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69A2582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9DAF96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24AD0192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1A8607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94651A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Princípio da Justificativa Técnica: A escolha da metodologia de projeção (estática, projetada ou geracional) e da escala de Melhoria deve ser sempre acompanhada de uma justificativa técnica detalhada. O atuário deve documentar as razões da sua escolha, as fontes de dados utilizadas e as análises de sensibilidade que suportam sua decisão.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F776E1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9866CF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73C65BA0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2206DF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6E61C4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Princípio da Transparência: é recomendado que o atuário documente a metodologia utilizada, a tábua de mortalidade base, a escala de Melhoria adotada e os impactos financeiros decorrentes dessa escolha.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5A9845B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475CF7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271051C2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BB5F88C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0CCA3C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Elementos recomendados na descrição da metodologia:</w:t>
            </w:r>
          </w:p>
          <w:p w14:paraId="18B71C31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i. Introdução: descrição da motivação para a utilização de fatores de Melhoria.</w:t>
            </w:r>
          </w:p>
          <w:p w14:paraId="43C146B6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60F2F">
              <w:rPr>
                <w:rFonts w:ascii="Calibri" w:hAnsi="Calibri" w:cs="Calibri"/>
                <w:sz w:val="22"/>
                <w:szCs w:val="22"/>
              </w:rPr>
              <w:t>ii</w:t>
            </w:r>
            <w:proofErr w:type="spellEnd"/>
            <w:r w:rsidRPr="00B60F2F">
              <w:rPr>
                <w:rFonts w:ascii="Calibri" w:hAnsi="Calibri" w:cs="Calibri"/>
                <w:sz w:val="22"/>
                <w:szCs w:val="22"/>
              </w:rPr>
              <w:t>. Fatores de Melhoria e metodologia de aplicação: indicar os fatores adotados, a metodologia de aplicação, incluindo idade limite, se houver, gêneros afetados e tempo durante o qual os fatores serão utilizados, além das coberturas que serão impactadas.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C295D2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FA941A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57601C76" w14:textId="77777777" w:rsidTr="004662F6">
        <w:tc>
          <w:tcPr>
            <w:tcW w:w="14798" w:type="dxa"/>
            <w:gridSpan w:val="4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1D4EAD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b/>
                <w:bCs/>
                <w:sz w:val="24"/>
                <w:szCs w:val="24"/>
              </w:rPr>
              <w:t>V. CONTEÚDO – Metodologias de Aplicação</w:t>
            </w:r>
          </w:p>
        </w:tc>
      </w:tr>
      <w:tr w:rsidR="006E0871" w:rsidRPr="00B60F2F" w14:paraId="2CD7DB2B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30BE00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F5C563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A aplicação dos fatores de melhoria de mortalidade pode seguir diferentes abordagens e escalas de fatores.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A25A6D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B74045A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1B4BEE97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FFFDECE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136B0A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Uma tábua estática mantém os índices de mortalidade originais durante toda a projeção.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FE2F2E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64DBAA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79ECE9AD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0CC490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DD9A82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Tábuas projetadas são semelhantes às estáticas, mas com uma diferença: elas permanecem constantes por todo o período de projeção, porém a mortalidade considerada não é a da tábua original, mas uma extrapolação para um determinado ano futuro.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7D5108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9A77A7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041667C8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CD91E7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630EBB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 xml:space="preserve">Em tábuas geracionais, as taxas de mortalidade variam de acordo com a idade e/ou o ano calendário, conforme a escala utilizada. A projeção é realizada por meio de uma escala específica, preferencialmente de </w:t>
            </w:r>
            <w:r w:rsidRPr="00B60F2F">
              <w:rPr>
                <w:rFonts w:ascii="Calibri" w:hAnsi="Calibri" w:cs="Calibri"/>
                <w:sz w:val="22"/>
                <w:szCs w:val="22"/>
              </w:rPr>
              <w:t>acordo com o estudo de divulgação da tábua. A escala corresponde a uma tabela contendo os fatores de redução anual da taxa de mortalidade.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38DE2C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B00757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24CD6E86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980898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28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8E9E1C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As fórmulas gerais, de acordo com os fatores, são apresentadas na tabela a seguir:</w:t>
            </w:r>
          </w:p>
          <w:p w14:paraId="28AC861D" w14:textId="586114CD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A1DC2D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889BCA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7DBF" w:rsidRPr="00B60F2F" w14:paraId="34E94B5A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B8CCC5" w14:textId="77777777" w:rsidR="00227DBF" w:rsidRPr="00B60F2F" w:rsidRDefault="00227DBF" w:rsidP="0066499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9491E2" w14:textId="7D1737F3" w:rsidR="00227DBF" w:rsidRPr="00B60F2F" w:rsidRDefault="00227DBF" w:rsidP="00664994">
            <w:pPr>
              <w:rPr>
                <w:rFonts w:ascii="Calibri" w:hAnsi="Calibri" w:cs="Calibri"/>
                <w:sz w:val="22"/>
                <w:szCs w:val="22"/>
              </w:rPr>
            </w:pPr>
            <w:r w:rsidRPr="00B60F2F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7ECA6434" wp14:editId="357313B4">
                  <wp:extent cx="4105275" cy="2501168"/>
                  <wp:effectExtent l="0" t="0" r="0" b="0"/>
                  <wp:docPr id="204805654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6544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4690" cy="2512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AD6FBC" w14:textId="77777777" w:rsidR="00227DBF" w:rsidRPr="00B60F2F" w:rsidRDefault="00227DBF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A4309A" w14:textId="77777777" w:rsidR="00227DBF" w:rsidRPr="00B60F2F" w:rsidRDefault="00227DBF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B60F2F" w:rsidRPr="00B60F2F" w14:paraId="711094BD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275127" w14:textId="77777777" w:rsidR="00B60F2F" w:rsidRPr="00B60F2F" w:rsidRDefault="00B60F2F" w:rsidP="0066499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6106A7" w14:textId="09C0C0E3" w:rsidR="00B60F2F" w:rsidRPr="00B60F2F" w:rsidRDefault="00B60F2F" w:rsidP="00664994">
            <w:pPr>
              <w:rPr>
                <w:rFonts w:ascii="Calibri" w:hAnsi="Calibri" w:cs="Calibri"/>
                <w:noProof/>
                <w:sz w:val="22"/>
                <w:szCs w:val="22"/>
              </w:rPr>
            </w:pPr>
            <w:r w:rsidRPr="00B60F2F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42B46F79" wp14:editId="5A8EF7B0">
                  <wp:extent cx="3829050" cy="1891822"/>
                  <wp:effectExtent l="0" t="0" r="0" b="0"/>
                  <wp:docPr id="1748335628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335628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2156" cy="1898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492B6E" w14:textId="77777777" w:rsidR="00B60F2F" w:rsidRPr="00B60F2F" w:rsidRDefault="00B60F2F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13F0FB" w14:textId="77777777" w:rsidR="00B60F2F" w:rsidRPr="00B60F2F" w:rsidRDefault="00B60F2F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401D3129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15D1DC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29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20D430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A metodologia geracional é adequada para refletir a contínua melhora da longevidade. Sua utilização deve ser avaliada nos casos em que se deseja refletir essa melhoria de longevidade, especialmente em avaliações de longo prazo.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792B9A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8A77A8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3779AA59" w14:textId="77777777" w:rsidTr="004662F6">
        <w:tc>
          <w:tcPr>
            <w:tcW w:w="14798" w:type="dxa"/>
            <w:gridSpan w:val="4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F3D686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b/>
                <w:bCs/>
                <w:sz w:val="24"/>
                <w:szCs w:val="24"/>
              </w:rPr>
              <w:t>V. CONTEÚDO – Limite de aplicação de escala</w:t>
            </w:r>
          </w:p>
        </w:tc>
      </w:tr>
      <w:tr w:rsidR="006E0871" w:rsidRPr="00B60F2F" w14:paraId="6782C3D8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88DFBD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FC3379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A aplicação por tempo indefinido de taxas de Melhoria observadas no curto prazo em projeções de longo prazo pode levar a uma subestimação irreal das taxas de mortalidade futuras e, consequentemente, a uma subavaliação dos passivos de coberturas de morte (e superavaliação de coberturas de sobrevivência).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4F6C52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FB4494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3FDF74EA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A02CC2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31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E1C88D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Os principais motivos que justificam esta preocupação:</w:t>
            </w:r>
          </w:p>
          <w:p w14:paraId="4DD773EE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i. Sustentabilidade das tendências: reconhece-se que as rápidas melhorias na mortalidade observadas em certos períodos históricos, impulsionadas por avanços médicos e de saúde pública específicos, podem não ser sustentáveis indefinidamente no mesmo ritmo.</w:t>
            </w:r>
          </w:p>
          <w:p w14:paraId="5D875FD5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60F2F">
              <w:rPr>
                <w:rFonts w:ascii="Calibri" w:hAnsi="Calibri" w:cs="Calibri"/>
                <w:sz w:val="22"/>
                <w:szCs w:val="22"/>
              </w:rPr>
              <w:t>ii</w:t>
            </w:r>
            <w:proofErr w:type="spellEnd"/>
            <w:r w:rsidRPr="00B60F2F">
              <w:rPr>
                <w:rFonts w:ascii="Calibri" w:hAnsi="Calibri" w:cs="Calibri"/>
                <w:sz w:val="22"/>
                <w:szCs w:val="22"/>
              </w:rPr>
              <w:t xml:space="preserve">. Incerteza de longo prazo: a projeção de tendências por muitas décadas </w:t>
            </w:r>
            <w:proofErr w:type="spellStart"/>
            <w:r w:rsidRPr="00B60F2F">
              <w:rPr>
                <w:rFonts w:ascii="Calibri" w:hAnsi="Calibri" w:cs="Calibri"/>
                <w:sz w:val="22"/>
                <w:szCs w:val="22"/>
              </w:rPr>
              <w:t>é</w:t>
            </w:r>
            <w:proofErr w:type="spellEnd"/>
            <w:r w:rsidRPr="00B60F2F">
              <w:rPr>
                <w:rFonts w:ascii="Calibri" w:hAnsi="Calibri" w:cs="Calibri"/>
                <w:sz w:val="22"/>
                <w:szCs w:val="22"/>
              </w:rPr>
              <w:t xml:space="preserve"> inerentemente incerta.</w:t>
            </w:r>
          </w:p>
          <w:p w14:paraId="2D744E37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60F2F">
              <w:rPr>
                <w:rFonts w:ascii="Calibri" w:hAnsi="Calibri" w:cs="Calibri"/>
                <w:sz w:val="22"/>
                <w:szCs w:val="22"/>
              </w:rPr>
              <w:t>iii</w:t>
            </w:r>
            <w:proofErr w:type="spellEnd"/>
            <w:r w:rsidRPr="00B60F2F">
              <w:rPr>
                <w:rFonts w:ascii="Calibri" w:hAnsi="Calibri" w:cs="Calibri"/>
                <w:sz w:val="22"/>
                <w:szCs w:val="22"/>
              </w:rPr>
              <w:t>. Estabilização natural: modelos atuariais indicam que as taxas de Melhoria tendem a variar ao longo do tempo e, eventualmente, se estabilizar em torno de uma média de longo prazo.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E953AB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3BB018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7E28133F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9519EF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32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10D95D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 xml:space="preserve">O Atuário deve buscar no relatório técnico dos pesquisadores que construíram a escala a recomendação de </w:t>
            </w:r>
            <w:proofErr w:type="spellStart"/>
            <w:proofErr w:type="gramStart"/>
            <w:r w:rsidRPr="00B60F2F">
              <w:rPr>
                <w:rFonts w:ascii="Calibri" w:hAnsi="Calibri" w:cs="Calibri"/>
                <w:sz w:val="22"/>
                <w:szCs w:val="22"/>
              </w:rPr>
              <w:t>por</w:t>
            </w:r>
            <w:proofErr w:type="spellEnd"/>
            <w:proofErr w:type="gramEnd"/>
            <w:r w:rsidRPr="00B60F2F">
              <w:rPr>
                <w:rFonts w:ascii="Calibri" w:hAnsi="Calibri" w:cs="Calibri"/>
                <w:sz w:val="22"/>
                <w:szCs w:val="22"/>
              </w:rPr>
              <w:t xml:space="preserve"> quantos anos projetados ela é aplicável, ou se há transformações ou suavizações para que ela seja mantida perpetuamente (“taxa Última”).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6FA239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AF2B96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7BE9247C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775E88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33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7270FC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A convergência para uma taxa Última é uma forma de incorporar na modelagem as incertezas relacionadas ao longo prazo.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652466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324761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0B2179E8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29977E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34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A58CB8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Quando o limite da escala ou a taxa Última não forem definidos, ou quando este limite não fizer sentido em relação à população a qual será aplicada a escala por diferenças em características relevantes, recomenda-se prudência e postura conservadora, a fim de proteger a entidade ou empresa de erros de projeção.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21467C7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DE1D93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44F177D9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4E632B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35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3F30B4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 xml:space="preserve">A aplicação de fatores de Melhoria não deve alterar a Idade Limite da Tábua de mortalidade base sem a aplicação de uma metodologia mais robusta de decaimento. Desta forma, caso o relatório técnico não explicite este decaimento, deve-se garantir que </w:t>
            </w:r>
            <w:proofErr w:type="spellStart"/>
            <w:r w:rsidRPr="00B60F2F">
              <w:rPr>
                <w:rFonts w:ascii="Calibri" w:hAnsi="Calibri" w:cs="Calibri"/>
                <w:sz w:val="22"/>
                <w:szCs w:val="22"/>
              </w:rPr>
              <w:t>qωt</w:t>
            </w:r>
            <w:proofErr w:type="spellEnd"/>
            <w:r w:rsidRPr="00B60F2F">
              <w:rPr>
                <w:rFonts w:ascii="Calibri" w:hAnsi="Calibri" w:cs="Calibri"/>
                <w:sz w:val="22"/>
                <w:szCs w:val="22"/>
              </w:rPr>
              <w:t xml:space="preserve"> = </w:t>
            </w:r>
            <w:proofErr w:type="spellStart"/>
            <w:r w:rsidRPr="00B60F2F">
              <w:rPr>
                <w:rFonts w:ascii="Calibri" w:hAnsi="Calibri" w:cs="Calibri"/>
                <w:sz w:val="22"/>
                <w:szCs w:val="22"/>
              </w:rPr>
              <w:t>qωy</w:t>
            </w:r>
            <w:proofErr w:type="spellEnd"/>
            <w:r w:rsidRPr="00B60F2F">
              <w:rPr>
                <w:rFonts w:ascii="Calibri" w:hAnsi="Calibri" w:cs="Calibri"/>
                <w:sz w:val="22"/>
                <w:szCs w:val="22"/>
              </w:rPr>
              <w:t xml:space="preserve"> = 1, sendo x = ω a idade terminal da tábua, estando incorreta a redução desta probabilidade e, assim, assegurando-se a finitude da população estudada.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3C3930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6AD16F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38A7BF4D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8FA894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36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43336B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Implicações práticas e recomendações:</w:t>
            </w:r>
          </w:p>
          <w:p w14:paraId="7518813C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i. Utilizar datas limite de aplicação de fatores de Melhoria, convergindo para uma Tábua Projetada, somente se for justificável tecnicamente em função do comportamento populacional, evitando-se esta abordagem sempre que possível.</w:t>
            </w:r>
          </w:p>
          <w:p w14:paraId="4822D42E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60F2F">
              <w:rPr>
                <w:rFonts w:ascii="Calibri" w:hAnsi="Calibri" w:cs="Calibri"/>
                <w:sz w:val="22"/>
                <w:szCs w:val="22"/>
              </w:rPr>
              <w:t>ii</w:t>
            </w:r>
            <w:proofErr w:type="spellEnd"/>
            <w:r w:rsidRPr="00B60F2F">
              <w:rPr>
                <w:rFonts w:ascii="Calibri" w:hAnsi="Calibri" w:cs="Calibri"/>
                <w:sz w:val="22"/>
                <w:szCs w:val="22"/>
              </w:rPr>
              <w:t>. Preferir a adoção de um modelo de convergência: a aplicação de taxas Melhoria constantes e baseadas apenas em dados de curto prazo deve ser evitada. É fundamental utilizar um modelo que incorpore a convergência para uma taxa Última de longo prazo.</w:t>
            </w:r>
          </w:p>
          <w:p w14:paraId="7B32CC70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60F2F">
              <w:rPr>
                <w:rFonts w:ascii="Calibri" w:hAnsi="Calibri" w:cs="Calibri"/>
                <w:sz w:val="22"/>
                <w:szCs w:val="22"/>
              </w:rPr>
              <w:t>iii</w:t>
            </w:r>
            <w:proofErr w:type="spellEnd"/>
            <w:r w:rsidRPr="00B60F2F">
              <w:rPr>
                <w:rFonts w:ascii="Calibri" w:hAnsi="Calibri" w:cs="Calibri"/>
                <w:sz w:val="22"/>
                <w:szCs w:val="22"/>
              </w:rPr>
              <w:t>. Justificar a escolha da taxa Última: a seleção da taxa Última deve ser uma decisão bem documentada e justificada, com base em estudos de amplo reconhecimento e na análise de tendências de longo prazo.</w:t>
            </w:r>
          </w:p>
          <w:p w14:paraId="66D9DBD2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60F2F">
              <w:rPr>
                <w:rFonts w:ascii="Calibri" w:hAnsi="Calibri" w:cs="Calibri"/>
                <w:sz w:val="22"/>
                <w:szCs w:val="22"/>
              </w:rPr>
              <w:t>iv</w:t>
            </w:r>
            <w:proofErr w:type="spellEnd"/>
            <w:r w:rsidRPr="00B60F2F">
              <w:rPr>
                <w:rFonts w:ascii="Calibri" w:hAnsi="Calibri" w:cs="Calibri"/>
                <w:sz w:val="22"/>
                <w:szCs w:val="22"/>
              </w:rPr>
              <w:t>. Definir um período de convergência razoável: o período de transição entre as taxas de curto e longo prazo deve ser explicitado.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D3004C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BF4ADD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65105B24" w14:textId="77777777" w:rsidTr="004662F6">
        <w:tc>
          <w:tcPr>
            <w:tcW w:w="14798" w:type="dxa"/>
            <w:gridSpan w:val="4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662BD99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b/>
                <w:bCs/>
                <w:sz w:val="24"/>
                <w:szCs w:val="24"/>
              </w:rPr>
              <w:t>V. CONTEÚDO – Análise de Impacto e Sensibilidade</w:t>
            </w:r>
          </w:p>
        </w:tc>
      </w:tr>
      <w:tr w:rsidR="006E0871" w:rsidRPr="00B60F2F" w14:paraId="04191F90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8555A3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37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3314B8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O Atuário deve estar ciente de que a adoção de tábuas geracionais tende a aumentar a sobrevivência esperada em comparação com as abordagens estáticas ou projetadas. Em geral, esse impacto é mais pronunciado em seguros e planos de benefícios com uma população mais jovem, onde o efeito da longevidade se acumula por um período maior.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AED420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0C9E13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62440D55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DC96ED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38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96E41A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A realização de estudos de sensibilidade demonstrará o impacto de diferentes escalas de Melhoria de mortalidade nos resultados. Essa análise fornece uma medida do risco associado à hipótese de longevidade e é uma informação complementar para a gestão do plano/produto.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B9A9C2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B28278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E0871" w:rsidRPr="00B60F2F" w14:paraId="12F67177" w14:textId="77777777" w:rsidTr="004662F6">
        <w:tc>
          <w:tcPr>
            <w:tcW w:w="69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C06A9D" w14:textId="77777777" w:rsidR="006E0871" w:rsidRPr="00B60F2F" w:rsidRDefault="00D30416" w:rsidP="0066499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39</w:t>
            </w:r>
          </w:p>
        </w:tc>
        <w:tc>
          <w:tcPr>
            <w:tcW w:w="666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BC70916" w14:textId="77777777" w:rsidR="006E0871" w:rsidRPr="00B60F2F" w:rsidRDefault="00D30416" w:rsidP="00664994">
            <w:pPr>
              <w:rPr>
                <w:rFonts w:ascii="Calibri" w:hAnsi="Calibri" w:cs="Calibri"/>
                <w:sz w:val="24"/>
                <w:szCs w:val="24"/>
              </w:rPr>
            </w:pPr>
            <w:r w:rsidRPr="00B60F2F">
              <w:rPr>
                <w:rFonts w:ascii="Calibri" w:hAnsi="Calibri" w:cs="Calibri"/>
                <w:sz w:val="22"/>
                <w:szCs w:val="22"/>
              </w:rPr>
              <w:t>As premissas de Melhoria da mortalidade não devem ser estáticas. Devem ser revisadas periodicamente para incorporar novos dados, estudos e mudanças nas tendências demográficas e de saúde.</w:t>
            </w:r>
          </w:p>
        </w:tc>
        <w:tc>
          <w:tcPr>
            <w:tcW w:w="406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B47B16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3372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E302FE" w14:textId="77777777" w:rsidR="006E0871" w:rsidRPr="00B60F2F" w:rsidRDefault="006E0871" w:rsidP="0066499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136B95A2" w14:textId="77777777" w:rsidR="00DC5AB4" w:rsidRPr="00B60F2F" w:rsidRDefault="00DC5AB4" w:rsidP="00664994">
      <w:pPr>
        <w:rPr>
          <w:rFonts w:ascii="Calibri" w:hAnsi="Calibri" w:cs="Calibri"/>
          <w:sz w:val="24"/>
          <w:szCs w:val="24"/>
        </w:rPr>
      </w:pPr>
    </w:p>
    <w:sectPr w:rsidR="00DC5AB4" w:rsidRPr="00B60F2F">
      <w:footerReference w:type="default" r:id="rId9"/>
      <w:pgSz w:w="16838" w:h="11906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AED7E" w14:textId="77777777" w:rsidR="00D30416" w:rsidRDefault="00D30416" w:rsidP="00664994">
      <w:r>
        <w:separator/>
      </w:r>
    </w:p>
  </w:endnote>
  <w:endnote w:type="continuationSeparator" w:id="0">
    <w:p w14:paraId="74C81E92" w14:textId="77777777" w:rsidR="00D30416" w:rsidRDefault="00D30416" w:rsidP="00664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3209922"/>
      <w:docPartObj>
        <w:docPartGallery w:val="Page Numbers (Bottom of Page)"/>
        <w:docPartUnique/>
      </w:docPartObj>
    </w:sdtPr>
    <w:sdtEndPr/>
    <w:sdtContent>
      <w:p w14:paraId="7BAADE68" w14:textId="6A41635B" w:rsidR="00664994" w:rsidRDefault="0066499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107A05" w14:textId="77777777" w:rsidR="00664994" w:rsidRDefault="006649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D6434" w14:textId="77777777" w:rsidR="00D30416" w:rsidRDefault="00D30416" w:rsidP="00664994">
      <w:r>
        <w:separator/>
      </w:r>
    </w:p>
  </w:footnote>
  <w:footnote w:type="continuationSeparator" w:id="0">
    <w:p w14:paraId="20E3B9E2" w14:textId="77777777" w:rsidR="00D30416" w:rsidRDefault="00D30416" w:rsidP="006649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D4E97"/>
    <w:multiLevelType w:val="hybridMultilevel"/>
    <w:tmpl w:val="5336CA70"/>
    <w:lvl w:ilvl="0" w:tplc="A95A801E">
      <w:start w:val="1"/>
      <w:numFmt w:val="bullet"/>
      <w:lvlText w:val="●"/>
      <w:lvlJc w:val="left"/>
      <w:pPr>
        <w:ind w:left="720" w:hanging="360"/>
      </w:pPr>
    </w:lvl>
    <w:lvl w:ilvl="1" w:tplc="75F22FAC">
      <w:start w:val="1"/>
      <w:numFmt w:val="bullet"/>
      <w:lvlText w:val="○"/>
      <w:lvlJc w:val="left"/>
      <w:pPr>
        <w:ind w:left="1440" w:hanging="360"/>
      </w:pPr>
    </w:lvl>
    <w:lvl w:ilvl="2" w:tplc="3DF09864">
      <w:start w:val="1"/>
      <w:numFmt w:val="bullet"/>
      <w:lvlText w:val="■"/>
      <w:lvlJc w:val="left"/>
      <w:pPr>
        <w:ind w:left="2160" w:hanging="360"/>
      </w:pPr>
    </w:lvl>
    <w:lvl w:ilvl="3" w:tplc="B10CCC56">
      <w:start w:val="1"/>
      <w:numFmt w:val="bullet"/>
      <w:lvlText w:val="●"/>
      <w:lvlJc w:val="left"/>
      <w:pPr>
        <w:ind w:left="2880" w:hanging="360"/>
      </w:pPr>
    </w:lvl>
    <w:lvl w:ilvl="4" w:tplc="A148C06C">
      <w:start w:val="1"/>
      <w:numFmt w:val="bullet"/>
      <w:lvlText w:val="○"/>
      <w:lvlJc w:val="left"/>
      <w:pPr>
        <w:ind w:left="3600" w:hanging="360"/>
      </w:pPr>
    </w:lvl>
    <w:lvl w:ilvl="5" w:tplc="8EDE3F52">
      <w:start w:val="1"/>
      <w:numFmt w:val="bullet"/>
      <w:lvlText w:val="■"/>
      <w:lvlJc w:val="left"/>
      <w:pPr>
        <w:ind w:left="4320" w:hanging="360"/>
      </w:pPr>
    </w:lvl>
    <w:lvl w:ilvl="6" w:tplc="BE986E18">
      <w:start w:val="1"/>
      <w:numFmt w:val="bullet"/>
      <w:lvlText w:val="●"/>
      <w:lvlJc w:val="left"/>
      <w:pPr>
        <w:ind w:left="5040" w:hanging="360"/>
      </w:pPr>
    </w:lvl>
    <w:lvl w:ilvl="7" w:tplc="F3106114">
      <w:start w:val="1"/>
      <w:numFmt w:val="bullet"/>
      <w:lvlText w:val="●"/>
      <w:lvlJc w:val="left"/>
      <w:pPr>
        <w:ind w:left="5760" w:hanging="360"/>
      </w:pPr>
    </w:lvl>
    <w:lvl w:ilvl="8" w:tplc="9774A770">
      <w:start w:val="1"/>
      <w:numFmt w:val="bullet"/>
      <w:lvlText w:val="●"/>
      <w:lvlJc w:val="left"/>
      <w:pPr>
        <w:ind w:left="6480" w:hanging="360"/>
      </w:pPr>
    </w:lvl>
  </w:abstractNum>
  <w:num w:numId="1" w16cid:durableId="9582945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871"/>
    <w:rsid w:val="00227DBF"/>
    <w:rsid w:val="0026143F"/>
    <w:rsid w:val="004662F6"/>
    <w:rsid w:val="005D7A46"/>
    <w:rsid w:val="00664994"/>
    <w:rsid w:val="006A70DE"/>
    <w:rsid w:val="006E0871"/>
    <w:rsid w:val="006F5305"/>
    <w:rsid w:val="00840BCE"/>
    <w:rsid w:val="00B60F2F"/>
    <w:rsid w:val="00D30416"/>
    <w:rsid w:val="00DC11AB"/>
    <w:rsid w:val="00DC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BF6C5"/>
  <w15:docId w15:val="{B7F011FB-8375-4FBD-B341-86490EFC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6649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4994"/>
  </w:style>
  <w:style w:type="paragraph" w:styleId="Rodap">
    <w:name w:val="footer"/>
    <w:basedOn w:val="Normal"/>
    <w:link w:val="RodapChar"/>
    <w:uiPriority w:val="99"/>
    <w:unhideWhenUsed/>
    <w:rsid w:val="006649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4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1752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Administrativo Atuarios</cp:lastModifiedBy>
  <cp:revision>2</cp:revision>
  <dcterms:created xsi:type="dcterms:W3CDTF">2026-09-01T13:52:00Z</dcterms:created>
  <dcterms:modified xsi:type="dcterms:W3CDTF">2026-09-01T13:52:00Z</dcterms:modified>
</cp:coreProperties>
</file>